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4101" w:rsidRDefault="00FF7299" w:rsidP="00D335A6">
      <w:pPr>
        <w:jc w:val="right"/>
        <w:rPr>
          <w:rFonts w:asciiTheme="majorHAnsi" w:hAnsiTheme="majorHAnsi"/>
          <w:sz w:val="52"/>
          <w:szCs w:val="52"/>
        </w:rPr>
      </w:pPr>
      <w:bookmarkStart w:id="0" w:name="_GoBack"/>
      <w:bookmarkEnd w:id="0"/>
      <w:r w:rsidRPr="00A04101">
        <w:rPr>
          <w:rFonts w:asciiTheme="majorHAnsi" w:hAnsiTheme="majorHAnsi"/>
          <w:noProof/>
          <w:sz w:val="52"/>
          <w:szCs w:val="52"/>
          <w:lang w:val="en-NZ" w:eastAsia="en-NZ"/>
        </w:rPr>
        <w:drawing>
          <wp:anchor distT="0" distB="0" distL="114300" distR="114300" simplePos="0" relativeHeight="251658240" behindDoc="0" locked="0" layoutInCell="1" allowOverlap="1" wp14:anchorId="40826144" wp14:editId="64DA4DC2">
            <wp:simplePos x="0" y="0"/>
            <wp:positionH relativeFrom="column">
              <wp:posOffset>-863600</wp:posOffset>
            </wp:positionH>
            <wp:positionV relativeFrom="paragraph">
              <wp:posOffset>-685800</wp:posOffset>
            </wp:positionV>
            <wp:extent cx="2690495" cy="1790700"/>
            <wp:effectExtent l="0" t="0" r="1905" b="12700"/>
            <wp:wrapTight wrapText="bothSides">
              <wp:wrapPolygon edited="0">
                <wp:start x="0" y="0"/>
                <wp:lineTo x="0" y="21447"/>
                <wp:lineTo x="21411" y="21447"/>
                <wp:lineTo x="21411" y="0"/>
                <wp:lineTo x="0" y="0"/>
              </wp:wrapPolygon>
            </wp:wrapTight>
            <wp:docPr id="1" name="Picture 1" descr="Macintosh HD:Users:shun444:Desktop:images (1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shun444:Desktop:images (1).jpe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0495" cy="179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370B9">
        <w:rPr>
          <w:rFonts w:asciiTheme="majorHAnsi" w:hAnsiTheme="majorHAnsi"/>
          <w:sz w:val="52"/>
          <w:szCs w:val="52"/>
        </w:rPr>
        <w:t>T</w:t>
      </w:r>
      <w:r w:rsidR="00A04101" w:rsidRPr="00A04101">
        <w:rPr>
          <w:rFonts w:asciiTheme="majorHAnsi" w:hAnsiTheme="majorHAnsi"/>
          <w:sz w:val="52"/>
          <w:szCs w:val="52"/>
        </w:rPr>
        <w:t>eaching</w:t>
      </w:r>
    </w:p>
    <w:p w:rsidR="00D335A6" w:rsidRDefault="00D335A6" w:rsidP="00D335A6">
      <w:pPr>
        <w:jc w:val="right"/>
        <w:rPr>
          <w:rFonts w:asciiTheme="majorHAnsi" w:hAnsiTheme="majorHAnsi"/>
          <w:sz w:val="52"/>
          <w:szCs w:val="52"/>
        </w:rPr>
      </w:pPr>
      <w:r>
        <w:rPr>
          <w:rFonts w:asciiTheme="majorHAnsi" w:hAnsiTheme="majorHAnsi"/>
          <w:sz w:val="52"/>
          <w:szCs w:val="52"/>
        </w:rPr>
        <w:t>Health</w:t>
      </w:r>
      <w:r w:rsidR="00DE0689">
        <w:rPr>
          <w:rFonts w:asciiTheme="majorHAnsi" w:hAnsiTheme="majorHAnsi"/>
          <w:sz w:val="52"/>
          <w:szCs w:val="52"/>
        </w:rPr>
        <w:t xml:space="preserve"> </w:t>
      </w:r>
    </w:p>
    <w:p w:rsidR="00DE0689" w:rsidRDefault="00B370B9" w:rsidP="00D335A6">
      <w:pPr>
        <w:jc w:val="right"/>
        <w:rPr>
          <w:rFonts w:asciiTheme="majorHAnsi" w:hAnsiTheme="majorHAnsi"/>
          <w:sz w:val="52"/>
          <w:szCs w:val="5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9E2121F" wp14:editId="13812D18">
                <wp:simplePos x="0" y="0"/>
                <wp:positionH relativeFrom="column">
                  <wp:posOffset>1595755</wp:posOffset>
                </wp:positionH>
                <wp:positionV relativeFrom="paragraph">
                  <wp:posOffset>1936750</wp:posOffset>
                </wp:positionV>
                <wp:extent cx="2096770" cy="556260"/>
                <wp:effectExtent l="0" t="0" r="0" b="254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96770" cy="556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txbx>
                        <w:txbxContent>
                          <w:p w:rsidR="000D42C6" w:rsidRPr="004B31AA" w:rsidRDefault="000D42C6" w:rsidP="004B31AA">
                            <w:pPr>
                              <w:rPr>
                                <w:rStyle w:val="Hyperlink"/>
                                <w:rFonts w:asciiTheme="majorHAnsi" w:hAnsiTheme="majorHAnsi"/>
                                <w:sz w:val="20"/>
                                <w:szCs w:val="20"/>
                                <w:u w:val="none"/>
                              </w:rPr>
                            </w:pPr>
                            <w:r>
                              <w:rPr>
                                <w:rStyle w:val="Hyperlink"/>
                                <w:rFonts w:asciiTheme="majorHAnsi" w:hAnsiTheme="majorHAnsi"/>
                                <w:sz w:val="20"/>
                                <w:szCs w:val="20"/>
                                <w:u w:val="none"/>
                              </w:rPr>
                              <w:t>The professional Practice of T</w:t>
                            </w:r>
                            <w:r w:rsidRPr="004B31AA">
                              <w:rPr>
                                <w:rStyle w:val="Hyperlink"/>
                                <w:rFonts w:asciiTheme="majorHAnsi" w:hAnsiTheme="majorHAnsi"/>
                                <w:sz w:val="20"/>
                                <w:szCs w:val="20"/>
                                <w:u w:val="none"/>
                              </w:rPr>
                              <w:t>eaching in NZ</w:t>
                            </w:r>
                            <w:r>
                              <w:rPr>
                                <w:rStyle w:val="Hyperlink"/>
                                <w:rFonts w:asciiTheme="majorHAnsi" w:hAnsiTheme="majorHAnsi"/>
                                <w:sz w:val="20"/>
                                <w:szCs w:val="20"/>
                                <w:u w:val="none"/>
                              </w:rPr>
                              <w:t xml:space="preserve">   2012</w:t>
                            </w:r>
                          </w:p>
                          <w:p w:rsidR="000D42C6" w:rsidRPr="003C5201" w:rsidRDefault="000D42C6" w:rsidP="004B31AA">
                            <w:pPr>
                              <w:rPr>
                                <w:rFonts w:asciiTheme="majorHAnsi" w:hAnsiTheme="majorHAnsi"/>
                                <w:color w:val="0000FF" w:themeColor="hyperlink"/>
                                <w:sz w:val="20"/>
                                <w:szCs w:val="20"/>
                              </w:rPr>
                            </w:pPr>
                            <w:r w:rsidRPr="004B31AA">
                              <w:rPr>
                                <w:rStyle w:val="Hyperlink"/>
                                <w:rFonts w:asciiTheme="majorHAnsi" w:hAnsiTheme="majorHAnsi"/>
                                <w:sz w:val="20"/>
                                <w:szCs w:val="20"/>
                                <w:u w:val="none"/>
                              </w:rPr>
                              <w:t>Deborah Fraser and Mary Hill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9E2121F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125.65pt;margin-top:152.5pt;width:165.1pt;height:43.8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" filled="f" stroked="f">
                <v:textbox style="mso-fit-shape-to-text:t">
                  <w:txbxContent>
                    <w:p w:rsidR="000D42C6" w:rsidRPr="004B31AA" w:rsidRDefault="000D42C6" w:rsidP="004B31AA">
                      <w:pPr>
                        <w:rPr>
                          <w:rStyle w:val="Hyperlink"/>
                          <w:rFonts w:asciiTheme="majorHAnsi" w:hAnsiTheme="majorHAnsi"/>
                          <w:sz w:val="20"/>
                          <w:szCs w:val="20"/>
                          <w:u w:val="none"/>
                        </w:rPr>
                      </w:pPr>
                      <w:r>
                        <w:rPr>
                          <w:rStyle w:val="Hyperlink"/>
                          <w:rFonts w:asciiTheme="majorHAnsi" w:hAnsiTheme="majorHAnsi"/>
                          <w:sz w:val="20"/>
                          <w:szCs w:val="20"/>
                          <w:u w:val="none"/>
                        </w:rPr>
                        <w:t>The professional Practice of T</w:t>
                      </w:r>
                      <w:r w:rsidRPr="004B31AA">
                        <w:rPr>
                          <w:rStyle w:val="Hyperlink"/>
                          <w:rFonts w:asciiTheme="majorHAnsi" w:hAnsiTheme="majorHAnsi"/>
                          <w:sz w:val="20"/>
                          <w:szCs w:val="20"/>
                          <w:u w:val="none"/>
                        </w:rPr>
                        <w:t>eaching in NZ</w:t>
                      </w:r>
                      <w:r>
                        <w:rPr>
                          <w:rStyle w:val="Hyperlink"/>
                          <w:rFonts w:asciiTheme="majorHAnsi" w:hAnsiTheme="majorHAnsi"/>
                          <w:sz w:val="20"/>
                          <w:szCs w:val="20"/>
                          <w:u w:val="none"/>
                        </w:rPr>
                        <w:t xml:space="preserve">   2012</w:t>
                      </w:r>
                    </w:p>
                    <w:p w:rsidR="000D42C6" w:rsidRPr="003C5201" w:rsidRDefault="000D42C6" w:rsidP="004B31AA">
                      <w:pPr>
                        <w:rPr>
                          <w:rFonts w:asciiTheme="majorHAnsi" w:hAnsiTheme="majorHAnsi"/>
                          <w:color w:val="0000FF" w:themeColor="hyperlink"/>
                          <w:sz w:val="20"/>
                          <w:szCs w:val="20"/>
                        </w:rPr>
                      </w:pPr>
                      <w:r w:rsidRPr="004B31AA">
                        <w:rPr>
                          <w:rStyle w:val="Hyperlink"/>
                          <w:rFonts w:asciiTheme="majorHAnsi" w:hAnsiTheme="majorHAnsi"/>
                          <w:sz w:val="20"/>
                          <w:szCs w:val="20"/>
                          <w:u w:val="none"/>
                        </w:rPr>
                        <w:t>Deborah Fraser and Mary Hill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DE0689">
        <w:rPr>
          <w:rFonts w:asciiTheme="majorHAnsi" w:hAnsiTheme="majorHAnsi"/>
          <w:sz w:val="52"/>
          <w:szCs w:val="52"/>
        </w:rPr>
        <w:t>Using Circle Pe</w:t>
      </w:r>
      <w:r w:rsidR="00DE0689" w:rsidRPr="00A04101">
        <w:rPr>
          <w:rFonts w:asciiTheme="majorHAnsi" w:hAnsiTheme="majorHAnsi"/>
          <w:sz w:val="52"/>
          <w:szCs w:val="52"/>
        </w:rPr>
        <w:t>dagogy</w:t>
      </w:r>
    </w:p>
    <w:tbl>
      <w:tblPr>
        <w:tblStyle w:val="TableGrid"/>
        <w:tblpPr w:leftFromText="180" w:rightFromText="180" w:vertAnchor="page" w:horzAnchor="page" w:tblpX="1009" w:tblpY="3601"/>
        <w:tblW w:w="10458" w:type="dxa"/>
        <w:tblLook w:val="04A0" w:firstRow="1" w:lastRow="0" w:firstColumn="1" w:lastColumn="0" w:noHBand="0" w:noVBand="1"/>
      </w:tblPr>
      <w:tblGrid>
        <w:gridCol w:w="4870"/>
        <w:gridCol w:w="5588"/>
      </w:tblGrid>
      <w:tr w:rsidR="00B81F25" w:rsidRPr="00FF7299" w:rsidTr="00B81F25">
        <w:tc>
          <w:tcPr>
            <w:tcW w:w="4870" w:type="dxa"/>
          </w:tcPr>
          <w:p w:rsidR="00B81F25" w:rsidRPr="00FF7299" w:rsidRDefault="00B81F25" w:rsidP="00B81F25">
            <w:pPr>
              <w:rPr>
                <w:rFonts w:asciiTheme="majorHAnsi" w:hAnsiTheme="majorHAnsi"/>
                <w:sz w:val="20"/>
                <w:szCs w:val="20"/>
              </w:rPr>
            </w:pPr>
            <w:r w:rsidRPr="00FF7299">
              <w:rPr>
                <w:rFonts w:asciiTheme="majorHAnsi" w:hAnsiTheme="majorHAnsi"/>
                <w:sz w:val="20"/>
                <w:szCs w:val="20"/>
              </w:rPr>
              <w:t>Introduction to workshop.</w:t>
            </w:r>
          </w:p>
          <w:p w:rsidR="00B81F25" w:rsidRPr="00FF7299" w:rsidRDefault="00B81F25" w:rsidP="00B81F25">
            <w:pPr>
              <w:rPr>
                <w:rFonts w:asciiTheme="majorHAnsi" w:hAnsiTheme="majorHAnsi"/>
                <w:sz w:val="20"/>
                <w:szCs w:val="20"/>
              </w:rPr>
            </w:pPr>
            <w:r w:rsidRPr="00FF7299">
              <w:rPr>
                <w:rFonts w:asciiTheme="majorHAnsi" w:hAnsiTheme="majorHAnsi"/>
                <w:sz w:val="20"/>
                <w:szCs w:val="20"/>
              </w:rPr>
              <w:t>Learning intentions</w:t>
            </w:r>
          </w:p>
          <w:p w:rsidR="00B81F25" w:rsidRPr="00FF7299" w:rsidRDefault="00B81F25" w:rsidP="00B81F25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588" w:type="dxa"/>
          </w:tcPr>
          <w:p w:rsidR="00B81F25" w:rsidRPr="00FF7299" w:rsidRDefault="00B81F25" w:rsidP="00B81F25">
            <w:pPr>
              <w:rPr>
                <w:rFonts w:asciiTheme="majorHAnsi" w:hAnsiTheme="majorHAnsi"/>
                <w:sz w:val="20"/>
                <w:szCs w:val="20"/>
              </w:rPr>
            </w:pPr>
            <w:r w:rsidRPr="00FF7299">
              <w:rPr>
                <w:rFonts w:asciiTheme="majorHAnsi" w:hAnsiTheme="majorHAnsi"/>
                <w:sz w:val="20"/>
                <w:szCs w:val="20"/>
              </w:rPr>
              <w:t>The workshop participants will understand how circle pedagogy will increase learning through constructing understanding as a group.</w:t>
            </w:r>
          </w:p>
        </w:tc>
      </w:tr>
      <w:tr w:rsidR="00B81F25" w:rsidRPr="00FF7299" w:rsidTr="00B81F25">
        <w:trPr>
          <w:trHeight w:val="242"/>
        </w:trPr>
        <w:tc>
          <w:tcPr>
            <w:tcW w:w="4870" w:type="dxa"/>
          </w:tcPr>
          <w:p w:rsidR="00B81F25" w:rsidRPr="00FF7299" w:rsidRDefault="00B81F25" w:rsidP="00B81F25">
            <w:pPr>
              <w:rPr>
                <w:rFonts w:asciiTheme="majorHAnsi" w:hAnsiTheme="majorHAnsi"/>
                <w:sz w:val="20"/>
                <w:szCs w:val="20"/>
              </w:rPr>
            </w:pPr>
            <w:r w:rsidRPr="00FF7299">
              <w:rPr>
                <w:rFonts w:asciiTheme="majorHAnsi" w:hAnsiTheme="majorHAnsi"/>
                <w:sz w:val="20"/>
                <w:szCs w:val="20"/>
              </w:rPr>
              <w:t>Connections.</w:t>
            </w:r>
          </w:p>
          <w:p w:rsidR="00B81F25" w:rsidRPr="00FF7299" w:rsidRDefault="00B81F25" w:rsidP="00B81F25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588" w:type="dxa"/>
          </w:tcPr>
          <w:p w:rsidR="00B81F25" w:rsidRPr="00FF7299" w:rsidRDefault="00B81F25" w:rsidP="00B81F25">
            <w:pPr>
              <w:rPr>
                <w:rFonts w:asciiTheme="majorHAnsi" w:hAnsiTheme="majorHAnsi"/>
                <w:sz w:val="20"/>
                <w:szCs w:val="20"/>
              </w:rPr>
            </w:pPr>
            <w:r w:rsidRPr="00FF7299">
              <w:rPr>
                <w:rFonts w:asciiTheme="majorHAnsi" w:hAnsiTheme="majorHAnsi"/>
                <w:sz w:val="20"/>
                <w:szCs w:val="20"/>
              </w:rPr>
              <w:t>Start story. “When do I sit in a circle?</w:t>
            </w:r>
          </w:p>
          <w:p w:rsidR="00B81F25" w:rsidRPr="00FF7299" w:rsidRDefault="00B81F25" w:rsidP="00B81F25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B81F25" w:rsidRPr="00FF7299" w:rsidTr="00B370B9">
        <w:trPr>
          <w:trHeight w:val="5858"/>
        </w:trPr>
        <w:tc>
          <w:tcPr>
            <w:tcW w:w="4870" w:type="dxa"/>
          </w:tcPr>
          <w:p w:rsidR="00B81F25" w:rsidRPr="00FF7299" w:rsidRDefault="00B81F25" w:rsidP="00B81F25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FF7299">
              <w:rPr>
                <w:rFonts w:asciiTheme="majorHAnsi" w:hAnsiTheme="majorHAnsi"/>
                <w:b/>
                <w:sz w:val="20"/>
                <w:szCs w:val="20"/>
              </w:rPr>
              <w:t xml:space="preserve">Why circles?  </w:t>
            </w:r>
          </w:p>
          <w:p w:rsidR="00B81F25" w:rsidRPr="00FF7299" w:rsidRDefault="00B81F25" w:rsidP="00B81F25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FF7299">
              <w:rPr>
                <w:rFonts w:asciiTheme="majorHAnsi" w:hAnsiTheme="majorHAnsi"/>
                <w:b/>
                <w:sz w:val="20"/>
                <w:szCs w:val="20"/>
              </w:rPr>
              <w:t>Purpose.</w:t>
            </w:r>
          </w:p>
          <w:p w:rsidR="00B81F25" w:rsidRPr="00FF7299" w:rsidRDefault="00B81F25" w:rsidP="00B81F25">
            <w:pPr>
              <w:rPr>
                <w:rFonts w:asciiTheme="majorHAnsi" w:hAnsiTheme="majorHAnsi"/>
                <w:i/>
                <w:sz w:val="20"/>
                <w:szCs w:val="20"/>
              </w:rPr>
            </w:pPr>
            <w:r w:rsidRPr="00FF7299">
              <w:rPr>
                <w:rFonts w:asciiTheme="majorHAnsi" w:hAnsiTheme="majorHAnsi"/>
                <w:i/>
                <w:sz w:val="20"/>
                <w:szCs w:val="20"/>
              </w:rPr>
              <w:t>Inclusive</w:t>
            </w:r>
          </w:p>
          <w:p w:rsidR="00B81F25" w:rsidRPr="00FF7299" w:rsidRDefault="00B81F25" w:rsidP="00B81F25">
            <w:pPr>
              <w:rPr>
                <w:rFonts w:asciiTheme="majorHAnsi" w:hAnsiTheme="majorHAnsi"/>
                <w:i/>
                <w:sz w:val="20"/>
                <w:szCs w:val="20"/>
              </w:rPr>
            </w:pPr>
            <w:r w:rsidRPr="00FF7299">
              <w:rPr>
                <w:rFonts w:asciiTheme="majorHAnsi" w:hAnsiTheme="majorHAnsi"/>
                <w:i/>
                <w:sz w:val="20"/>
                <w:szCs w:val="20"/>
              </w:rPr>
              <w:t>Collaborative</w:t>
            </w:r>
          </w:p>
          <w:p w:rsidR="00B81F25" w:rsidRPr="00FF7299" w:rsidRDefault="00B81F25" w:rsidP="00B81F25">
            <w:pPr>
              <w:rPr>
                <w:rFonts w:asciiTheme="majorHAnsi" w:hAnsiTheme="majorHAnsi"/>
                <w:i/>
                <w:sz w:val="20"/>
                <w:szCs w:val="20"/>
              </w:rPr>
            </w:pPr>
            <w:r w:rsidRPr="00FF7299">
              <w:rPr>
                <w:rFonts w:asciiTheme="majorHAnsi" w:hAnsiTheme="majorHAnsi"/>
                <w:i/>
                <w:sz w:val="20"/>
                <w:szCs w:val="20"/>
              </w:rPr>
              <w:t>Multiple ideas and input</w:t>
            </w:r>
          </w:p>
          <w:p w:rsidR="00B81F25" w:rsidRPr="00FF7299" w:rsidRDefault="00B81F25" w:rsidP="00B81F25">
            <w:pPr>
              <w:rPr>
                <w:rFonts w:asciiTheme="majorHAnsi" w:hAnsiTheme="majorHAnsi"/>
                <w:i/>
                <w:sz w:val="20"/>
                <w:szCs w:val="20"/>
              </w:rPr>
            </w:pPr>
            <w:r w:rsidRPr="00FF7299">
              <w:rPr>
                <w:rFonts w:asciiTheme="majorHAnsi" w:hAnsiTheme="majorHAnsi"/>
                <w:i/>
                <w:sz w:val="20"/>
                <w:szCs w:val="20"/>
              </w:rPr>
              <w:t>Democratic</w:t>
            </w:r>
          </w:p>
          <w:p w:rsidR="00B81F25" w:rsidRPr="00FF7299" w:rsidRDefault="00B81F25" w:rsidP="00B81F25">
            <w:pPr>
              <w:rPr>
                <w:rFonts w:asciiTheme="majorHAnsi" w:hAnsiTheme="majorHAnsi"/>
                <w:i/>
                <w:sz w:val="20"/>
                <w:szCs w:val="20"/>
              </w:rPr>
            </w:pPr>
            <w:r w:rsidRPr="00FF7299">
              <w:rPr>
                <w:rFonts w:asciiTheme="majorHAnsi" w:hAnsiTheme="majorHAnsi"/>
                <w:i/>
                <w:sz w:val="20"/>
                <w:szCs w:val="20"/>
              </w:rPr>
              <w:t>Constructivist approach</w:t>
            </w:r>
          </w:p>
          <w:p w:rsidR="00B81F25" w:rsidRPr="00FF7299" w:rsidRDefault="00B81F25" w:rsidP="00B81F25">
            <w:pPr>
              <w:rPr>
                <w:rFonts w:asciiTheme="majorHAnsi" w:hAnsiTheme="majorHAnsi"/>
                <w:i/>
                <w:sz w:val="20"/>
                <w:szCs w:val="20"/>
              </w:rPr>
            </w:pPr>
            <w:r w:rsidRPr="00FF7299">
              <w:rPr>
                <w:rFonts w:asciiTheme="majorHAnsi" w:hAnsiTheme="majorHAnsi"/>
                <w:i/>
                <w:sz w:val="20"/>
                <w:szCs w:val="20"/>
              </w:rPr>
              <w:t>Problem solving</w:t>
            </w:r>
          </w:p>
          <w:p w:rsidR="00B81F25" w:rsidRPr="00FF7299" w:rsidRDefault="00B81F25" w:rsidP="00B81F25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B81F25" w:rsidRPr="00FF7299" w:rsidRDefault="00B81F25" w:rsidP="00B81F25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FF7299">
              <w:rPr>
                <w:rFonts w:asciiTheme="majorHAnsi" w:hAnsiTheme="majorHAnsi"/>
                <w:b/>
                <w:sz w:val="20"/>
                <w:szCs w:val="20"/>
              </w:rPr>
              <w:t>Process</w:t>
            </w:r>
          </w:p>
          <w:p w:rsidR="00B81F25" w:rsidRPr="00FF7299" w:rsidRDefault="00B81F25" w:rsidP="00B81F25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FF7299">
              <w:rPr>
                <w:rFonts w:asciiTheme="majorHAnsi" w:hAnsiTheme="majorHAnsi"/>
                <w:b/>
                <w:sz w:val="20"/>
                <w:szCs w:val="20"/>
              </w:rPr>
              <w:t>Establishment.</w:t>
            </w:r>
          </w:p>
          <w:p w:rsidR="00B81F25" w:rsidRPr="00FF7299" w:rsidRDefault="00B81F25" w:rsidP="00B81F25">
            <w:pPr>
              <w:rPr>
                <w:rFonts w:asciiTheme="majorHAnsi" w:hAnsiTheme="majorHAnsi"/>
                <w:i/>
                <w:sz w:val="20"/>
                <w:szCs w:val="20"/>
              </w:rPr>
            </w:pPr>
            <w:r w:rsidRPr="00FF7299">
              <w:rPr>
                <w:rFonts w:asciiTheme="majorHAnsi" w:hAnsiTheme="majorHAnsi"/>
                <w:i/>
                <w:sz w:val="20"/>
                <w:szCs w:val="20"/>
              </w:rPr>
              <w:t>Create circle values and what they look like in action.</w:t>
            </w:r>
          </w:p>
          <w:p w:rsidR="00B81F25" w:rsidRPr="00FF7299" w:rsidRDefault="00B81F25" w:rsidP="00B81F25">
            <w:pPr>
              <w:rPr>
                <w:rFonts w:asciiTheme="majorHAnsi" w:hAnsiTheme="majorHAnsi"/>
                <w:i/>
                <w:sz w:val="20"/>
                <w:szCs w:val="20"/>
              </w:rPr>
            </w:pPr>
            <w:r w:rsidRPr="00FF7299">
              <w:rPr>
                <w:rFonts w:asciiTheme="majorHAnsi" w:hAnsiTheme="majorHAnsi"/>
                <w:i/>
                <w:sz w:val="20"/>
                <w:szCs w:val="20"/>
              </w:rPr>
              <w:t>Shape</w:t>
            </w:r>
          </w:p>
          <w:p w:rsidR="00B81F25" w:rsidRPr="00FF7299" w:rsidRDefault="00B81F25" w:rsidP="00B81F25">
            <w:pPr>
              <w:rPr>
                <w:rFonts w:asciiTheme="majorHAnsi" w:hAnsiTheme="majorHAnsi"/>
                <w:i/>
                <w:sz w:val="20"/>
                <w:szCs w:val="20"/>
              </w:rPr>
            </w:pPr>
            <w:r w:rsidRPr="00FF7299">
              <w:rPr>
                <w:rFonts w:asciiTheme="majorHAnsi" w:hAnsiTheme="majorHAnsi"/>
                <w:i/>
                <w:sz w:val="20"/>
                <w:szCs w:val="20"/>
              </w:rPr>
              <w:t>Moving into circle</w:t>
            </w:r>
          </w:p>
          <w:p w:rsidR="00B81F25" w:rsidRPr="00FF7299" w:rsidRDefault="00B81F25" w:rsidP="00B81F25">
            <w:pPr>
              <w:rPr>
                <w:rFonts w:asciiTheme="majorHAnsi" w:hAnsiTheme="majorHAnsi"/>
                <w:i/>
                <w:sz w:val="20"/>
                <w:szCs w:val="20"/>
              </w:rPr>
            </w:pPr>
            <w:r w:rsidRPr="00FF7299">
              <w:rPr>
                <w:rFonts w:asciiTheme="majorHAnsi" w:hAnsiTheme="majorHAnsi"/>
                <w:i/>
                <w:sz w:val="20"/>
                <w:szCs w:val="20"/>
              </w:rPr>
              <w:t>Regularity of circle</w:t>
            </w:r>
          </w:p>
          <w:p w:rsidR="00B81F25" w:rsidRPr="00FF7299" w:rsidRDefault="00B81F25" w:rsidP="00B81F25">
            <w:pPr>
              <w:rPr>
                <w:rFonts w:asciiTheme="majorHAnsi" w:hAnsiTheme="majorHAnsi"/>
                <w:i/>
                <w:sz w:val="20"/>
                <w:szCs w:val="20"/>
              </w:rPr>
            </w:pPr>
            <w:r w:rsidRPr="00FF7299">
              <w:rPr>
                <w:rFonts w:asciiTheme="majorHAnsi" w:hAnsiTheme="majorHAnsi"/>
                <w:i/>
                <w:sz w:val="20"/>
                <w:szCs w:val="20"/>
              </w:rPr>
              <w:t>Talking piece. Rounds / optional</w:t>
            </w:r>
          </w:p>
          <w:p w:rsidR="00B81F25" w:rsidRPr="00FF7299" w:rsidRDefault="00B81F25" w:rsidP="00B81F25">
            <w:pPr>
              <w:rPr>
                <w:rFonts w:asciiTheme="majorHAnsi" w:hAnsiTheme="majorHAnsi"/>
                <w:i/>
                <w:sz w:val="20"/>
                <w:szCs w:val="20"/>
              </w:rPr>
            </w:pPr>
            <w:r w:rsidRPr="00FF7299">
              <w:rPr>
                <w:rFonts w:asciiTheme="majorHAnsi" w:hAnsiTheme="majorHAnsi"/>
                <w:i/>
                <w:sz w:val="20"/>
                <w:szCs w:val="20"/>
              </w:rPr>
              <w:t>Right to pass with limits.</w:t>
            </w:r>
          </w:p>
          <w:p w:rsidR="00B81F25" w:rsidRPr="00FF7299" w:rsidRDefault="00B81F25" w:rsidP="00B81F25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B81F25" w:rsidRPr="00FF7299" w:rsidRDefault="00B81F25" w:rsidP="00B81F25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FF7299">
              <w:rPr>
                <w:rFonts w:asciiTheme="majorHAnsi" w:hAnsiTheme="majorHAnsi"/>
                <w:b/>
                <w:sz w:val="20"/>
                <w:szCs w:val="20"/>
              </w:rPr>
              <w:t>Normative practice</w:t>
            </w:r>
          </w:p>
          <w:p w:rsidR="00B81F25" w:rsidRPr="00FF7299" w:rsidRDefault="00B81F25" w:rsidP="00B81F25">
            <w:pPr>
              <w:rPr>
                <w:rFonts w:asciiTheme="majorHAnsi" w:hAnsiTheme="majorHAnsi"/>
                <w:i/>
                <w:sz w:val="20"/>
                <w:szCs w:val="20"/>
              </w:rPr>
            </w:pPr>
            <w:r w:rsidRPr="00FF7299">
              <w:rPr>
                <w:rFonts w:asciiTheme="majorHAnsi" w:hAnsiTheme="majorHAnsi"/>
                <w:i/>
                <w:sz w:val="20"/>
                <w:szCs w:val="20"/>
              </w:rPr>
              <w:t>Values of the circle bookmarks</w:t>
            </w:r>
          </w:p>
          <w:p w:rsidR="00B81F25" w:rsidRPr="00FF7299" w:rsidRDefault="00B81F25" w:rsidP="00B81F25">
            <w:pPr>
              <w:rPr>
                <w:rFonts w:asciiTheme="majorHAnsi" w:hAnsiTheme="majorHAnsi"/>
                <w:i/>
                <w:sz w:val="20"/>
                <w:szCs w:val="20"/>
              </w:rPr>
            </w:pPr>
            <w:r w:rsidRPr="00FF7299">
              <w:rPr>
                <w:rFonts w:asciiTheme="majorHAnsi" w:hAnsiTheme="majorHAnsi"/>
                <w:i/>
                <w:sz w:val="20"/>
                <w:szCs w:val="20"/>
              </w:rPr>
              <w:t xml:space="preserve">Routines for every circle. </w:t>
            </w:r>
          </w:p>
          <w:p w:rsidR="00B81F25" w:rsidRPr="00FF7299" w:rsidRDefault="00B81F25" w:rsidP="00B81F25">
            <w:pPr>
              <w:rPr>
                <w:rFonts w:asciiTheme="majorHAnsi" w:hAnsiTheme="majorHAnsi"/>
                <w:i/>
                <w:sz w:val="20"/>
                <w:szCs w:val="20"/>
              </w:rPr>
            </w:pPr>
            <w:r w:rsidRPr="00FF7299">
              <w:rPr>
                <w:rFonts w:asciiTheme="majorHAnsi" w:hAnsiTheme="majorHAnsi"/>
                <w:i/>
                <w:sz w:val="20"/>
                <w:szCs w:val="20"/>
              </w:rPr>
              <w:t>“What’s on Top”</w:t>
            </w:r>
          </w:p>
          <w:p w:rsidR="00B81F25" w:rsidRPr="00FF7299" w:rsidRDefault="00B81F25" w:rsidP="00B81F25">
            <w:pPr>
              <w:rPr>
                <w:rFonts w:asciiTheme="majorHAnsi" w:hAnsiTheme="majorHAnsi"/>
                <w:i/>
                <w:sz w:val="20"/>
                <w:szCs w:val="20"/>
              </w:rPr>
            </w:pPr>
            <w:r w:rsidRPr="00FF7299">
              <w:rPr>
                <w:rFonts w:asciiTheme="majorHAnsi" w:hAnsiTheme="majorHAnsi"/>
                <w:i/>
                <w:sz w:val="20"/>
                <w:szCs w:val="20"/>
              </w:rPr>
              <w:t>“Circle closure”</w:t>
            </w:r>
          </w:p>
          <w:p w:rsidR="00B81F25" w:rsidRPr="00FF7299" w:rsidRDefault="00B81F25" w:rsidP="00B81F25">
            <w:pPr>
              <w:rPr>
                <w:rFonts w:asciiTheme="majorHAnsi" w:hAnsiTheme="majorHAnsi"/>
                <w:i/>
                <w:sz w:val="20"/>
                <w:szCs w:val="20"/>
              </w:rPr>
            </w:pPr>
            <w:r w:rsidRPr="00FF7299">
              <w:rPr>
                <w:rFonts w:asciiTheme="majorHAnsi" w:hAnsiTheme="majorHAnsi"/>
                <w:i/>
                <w:sz w:val="20"/>
                <w:szCs w:val="20"/>
              </w:rPr>
              <w:t>Checking for understanding.</w:t>
            </w:r>
          </w:p>
          <w:p w:rsidR="00B81F25" w:rsidRPr="00FF7299" w:rsidRDefault="00B81F25" w:rsidP="00B81F25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588" w:type="dxa"/>
          </w:tcPr>
          <w:p w:rsidR="004B31AA" w:rsidRPr="004B31AA" w:rsidRDefault="004B31AA" w:rsidP="00B81F25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 w:rsidRPr="004B31AA">
              <w:rPr>
                <w:rFonts w:asciiTheme="majorHAnsi" w:hAnsiTheme="majorHAnsi"/>
                <w:b/>
                <w:sz w:val="22"/>
                <w:szCs w:val="22"/>
              </w:rPr>
              <w:t xml:space="preserve">Useful </w:t>
            </w:r>
            <w:r w:rsidR="00B370B9" w:rsidRPr="004B31AA">
              <w:rPr>
                <w:rFonts w:asciiTheme="majorHAnsi" w:hAnsiTheme="majorHAnsi"/>
                <w:b/>
                <w:sz w:val="22"/>
                <w:szCs w:val="22"/>
              </w:rPr>
              <w:t>resources</w:t>
            </w:r>
          </w:p>
          <w:p w:rsidR="00B81F25" w:rsidRDefault="000229E6" w:rsidP="00B81F25">
            <w:pPr>
              <w:rPr>
                <w:rStyle w:val="Hyperlink"/>
                <w:rFonts w:asciiTheme="majorHAnsi" w:hAnsiTheme="majorHAnsi"/>
                <w:sz w:val="20"/>
                <w:szCs w:val="20"/>
              </w:rPr>
            </w:pPr>
            <w:hyperlink r:id="rId6" w:history="1">
              <w:r w:rsidR="00B81F25" w:rsidRPr="00FF7299">
                <w:rPr>
                  <w:rStyle w:val="Hyperlink"/>
                  <w:rFonts w:asciiTheme="majorHAnsi" w:hAnsiTheme="majorHAnsi"/>
                  <w:sz w:val="20"/>
                  <w:szCs w:val="20"/>
                </w:rPr>
                <w:t>http://schoolcircles.blogspot.co.nz/</w:t>
              </w:r>
            </w:hyperlink>
          </w:p>
          <w:p w:rsidR="00B81F25" w:rsidRPr="00FF7299" w:rsidRDefault="00B81F25" w:rsidP="00B81F25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B81F25" w:rsidRPr="00FF7299" w:rsidRDefault="004B31AA" w:rsidP="00B81F25">
            <w:pPr>
              <w:rPr>
                <w:rFonts w:asciiTheme="majorHAnsi" w:hAnsiTheme="majorHAnsi"/>
                <w:sz w:val="20"/>
                <w:szCs w:val="20"/>
              </w:rPr>
            </w:pPr>
            <w:r w:rsidRPr="00FF7299">
              <w:rPr>
                <w:rFonts w:asciiTheme="majorHAnsi" w:hAnsiTheme="majorHAnsi"/>
                <w:noProof/>
                <w:sz w:val="20"/>
                <w:szCs w:val="20"/>
                <w:lang w:val="en-NZ" w:eastAsia="en-NZ"/>
              </w:rPr>
              <w:drawing>
                <wp:inline distT="0" distB="0" distL="0" distR="0" wp14:anchorId="35618745" wp14:editId="798F2C51">
                  <wp:extent cx="884370" cy="977900"/>
                  <wp:effectExtent l="0" t="0" r="5080" b="0"/>
                  <wp:docPr id="2" name="Picture 2" descr="Macintosh HD:Users:shun444:Desktop:Screenshot 2016-07-08 13.52.1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Macintosh HD:Users:shun444:Desktop:Screenshot 2016-07-08 13.52.1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4653" cy="9782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81F25" w:rsidRPr="00FF7299" w:rsidRDefault="00B81F25" w:rsidP="00B81F25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B81F25" w:rsidRDefault="000229E6" w:rsidP="00B81F25">
            <w:pPr>
              <w:rPr>
                <w:rStyle w:val="Hyperlink"/>
                <w:rFonts w:asciiTheme="majorHAnsi" w:eastAsia="Times New Roman" w:hAnsiTheme="majorHAnsi" w:cs="Times New Roman"/>
                <w:b/>
                <w:bCs/>
                <w:sz w:val="20"/>
                <w:szCs w:val="20"/>
                <w:shd w:val="clear" w:color="auto" w:fill="FFFFFF"/>
                <w:lang w:val="en-NZ"/>
              </w:rPr>
            </w:pPr>
            <w:hyperlink r:id="rId8" w:history="1">
              <w:r w:rsidR="00B81F25" w:rsidRPr="00FF7299">
                <w:rPr>
                  <w:rStyle w:val="Hyperlink"/>
                  <w:rFonts w:asciiTheme="majorHAnsi" w:eastAsia="Times New Roman" w:hAnsiTheme="majorHAnsi" w:cs="Times New Roman"/>
                  <w:b/>
                  <w:bCs/>
                  <w:sz w:val="20"/>
                  <w:szCs w:val="20"/>
                  <w:shd w:val="clear" w:color="auto" w:fill="FFFFFF"/>
                  <w:lang w:val="en-NZ"/>
                </w:rPr>
                <w:t>http://tinyurl.com/ktz6yf3</w:t>
              </w:r>
            </w:hyperlink>
          </w:p>
          <w:p w:rsidR="004B31AA" w:rsidRPr="00B370B9" w:rsidRDefault="004B31AA" w:rsidP="004B31AA">
            <w:pPr>
              <w:rPr>
                <w:rFonts w:asciiTheme="majorHAnsi" w:eastAsia="Times New Roman" w:hAnsiTheme="majorHAnsi" w:cs="Times New Roman"/>
                <w:sz w:val="20"/>
                <w:szCs w:val="20"/>
                <w:lang w:val="en-NZ"/>
              </w:rPr>
            </w:pPr>
            <w:r w:rsidRPr="00B370B9">
              <w:rPr>
                <w:rFonts w:asciiTheme="majorHAnsi" w:eastAsia="Times New Roman" w:hAnsiTheme="majorHAnsi" w:cs="Times New Roman"/>
                <w:bCs/>
                <w:color w:val="000000"/>
                <w:sz w:val="19"/>
                <w:szCs w:val="19"/>
                <w:shd w:val="clear" w:color="auto" w:fill="FFFFFF"/>
                <w:lang w:val="en-NZ"/>
              </w:rPr>
              <w:t>http://tinyurl.com/h3r9lkz</w:t>
            </w:r>
          </w:p>
          <w:p w:rsidR="004B31AA" w:rsidRDefault="004B31AA" w:rsidP="00B81F25">
            <w:pPr>
              <w:rPr>
                <w:rFonts w:asciiTheme="majorHAnsi" w:eastAsia="Times New Roman" w:hAnsiTheme="majorHAnsi" w:cs="Times New Roman"/>
                <w:b/>
                <w:bCs/>
                <w:color w:val="000000"/>
                <w:sz w:val="20"/>
                <w:szCs w:val="20"/>
                <w:shd w:val="clear" w:color="auto" w:fill="FFFFFF"/>
                <w:lang w:val="en-NZ"/>
              </w:rPr>
            </w:pPr>
          </w:p>
          <w:p w:rsidR="00B81F25" w:rsidRPr="00FF7299" w:rsidRDefault="00B81F25" w:rsidP="00B81F25">
            <w:pPr>
              <w:rPr>
                <w:rFonts w:asciiTheme="majorHAnsi" w:eastAsia="Times New Roman" w:hAnsiTheme="majorHAnsi" w:cs="Times New Roman"/>
                <w:bCs/>
                <w:color w:val="000000"/>
                <w:sz w:val="20"/>
                <w:szCs w:val="20"/>
                <w:shd w:val="clear" w:color="auto" w:fill="FFFFFF"/>
                <w:lang w:val="en-NZ"/>
              </w:rPr>
            </w:pPr>
            <w:r w:rsidRPr="00FF7299">
              <w:rPr>
                <w:rFonts w:asciiTheme="majorHAnsi" w:eastAsia="Times New Roman" w:hAnsiTheme="majorHAnsi" w:cs="Times New Roman"/>
                <w:bCs/>
                <w:color w:val="000000"/>
                <w:sz w:val="20"/>
                <w:szCs w:val="20"/>
                <w:shd w:val="clear" w:color="auto" w:fill="FFFFFF"/>
                <w:lang w:val="en-NZ"/>
              </w:rPr>
              <w:t>Write your values on mini white board</w:t>
            </w:r>
          </w:p>
          <w:p w:rsidR="00B81F25" w:rsidRPr="00FF7299" w:rsidRDefault="00B81F25" w:rsidP="00B81F25">
            <w:pPr>
              <w:rPr>
                <w:rFonts w:asciiTheme="majorHAnsi" w:eastAsia="Times New Roman" w:hAnsiTheme="majorHAnsi" w:cs="Times New Roman"/>
                <w:bCs/>
                <w:color w:val="000000"/>
                <w:sz w:val="20"/>
                <w:szCs w:val="20"/>
                <w:shd w:val="clear" w:color="auto" w:fill="FFFFFF"/>
                <w:lang w:val="en-NZ"/>
              </w:rPr>
            </w:pPr>
            <w:r w:rsidRPr="00FF7299">
              <w:rPr>
                <w:rFonts w:asciiTheme="majorHAnsi" w:eastAsia="Times New Roman" w:hAnsiTheme="majorHAnsi" w:cs="Times New Roman"/>
                <w:bCs/>
                <w:color w:val="000000"/>
                <w:sz w:val="20"/>
                <w:szCs w:val="20"/>
                <w:shd w:val="clear" w:color="auto" w:fill="FFFFFF"/>
                <w:lang w:val="en-NZ"/>
              </w:rPr>
              <w:t>A3 as a group collate all values and discuss.</w:t>
            </w:r>
          </w:p>
          <w:p w:rsidR="00B81F25" w:rsidRPr="00FF7299" w:rsidRDefault="00B81F25" w:rsidP="00B81F25">
            <w:pPr>
              <w:rPr>
                <w:rFonts w:asciiTheme="majorHAnsi" w:eastAsia="Times New Roman" w:hAnsiTheme="majorHAnsi" w:cs="Times New Roman"/>
                <w:bCs/>
                <w:color w:val="000000"/>
                <w:sz w:val="20"/>
                <w:szCs w:val="20"/>
                <w:shd w:val="clear" w:color="auto" w:fill="FFFFFF"/>
                <w:lang w:val="en-NZ"/>
              </w:rPr>
            </w:pPr>
            <w:r w:rsidRPr="00FF7299">
              <w:rPr>
                <w:rFonts w:asciiTheme="majorHAnsi" w:eastAsia="Times New Roman" w:hAnsiTheme="majorHAnsi" w:cs="Times New Roman"/>
                <w:bCs/>
                <w:color w:val="000000"/>
                <w:sz w:val="20"/>
                <w:szCs w:val="20"/>
                <w:shd w:val="clear" w:color="auto" w:fill="FFFFFF"/>
                <w:lang w:val="en-NZ"/>
              </w:rPr>
              <w:t>Select 4 most important values and add to book mark.</w:t>
            </w:r>
          </w:p>
          <w:p w:rsidR="00B81F25" w:rsidRPr="00FF7299" w:rsidRDefault="00922249" w:rsidP="00B81F25">
            <w:pPr>
              <w:rPr>
                <w:rFonts w:asciiTheme="majorHAnsi" w:eastAsia="Times New Roman" w:hAnsiTheme="majorHAnsi" w:cs="Times New Roman"/>
                <w:bCs/>
                <w:color w:val="000000"/>
                <w:sz w:val="20"/>
                <w:szCs w:val="20"/>
                <w:shd w:val="clear" w:color="auto" w:fill="FFFFFF"/>
                <w:lang w:val="en-NZ"/>
              </w:rPr>
            </w:pPr>
            <w:r>
              <w:rPr>
                <w:rFonts w:asciiTheme="majorHAnsi" w:eastAsia="Times New Roman" w:hAnsiTheme="majorHAnsi" w:cs="Times New Roman"/>
                <w:bCs/>
                <w:color w:val="000000"/>
                <w:sz w:val="20"/>
                <w:szCs w:val="20"/>
                <w:shd w:val="clear" w:color="auto" w:fill="FFFFFF"/>
                <w:lang w:val="en-NZ"/>
              </w:rPr>
              <w:t>Share as a gro</w:t>
            </w:r>
            <w:r w:rsidR="00B81F25" w:rsidRPr="00FF7299">
              <w:rPr>
                <w:rFonts w:asciiTheme="majorHAnsi" w:eastAsia="Times New Roman" w:hAnsiTheme="majorHAnsi" w:cs="Times New Roman"/>
                <w:bCs/>
                <w:color w:val="000000"/>
                <w:sz w:val="20"/>
                <w:szCs w:val="20"/>
                <w:shd w:val="clear" w:color="auto" w:fill="FFFFFF"/>
                <w:lang w:val="en-NZ"/>
              </w:rPr>
              <w:t>up</w:t>
            </w:r>
          </w:p>
          <w:p w:rsidR="00B81F25" w:rsidRPr="00FF7299" w:rsidRDefault="00B81F25" w:rsidP="00B81F25">
            <w:pPr>
              <w:rPr>
                <w:rFonts w:asciiTheme="majorHAnsi" w:eastAsia="Times New Roman" w:hAnsiTheme="majorHAnsi" w:cs="Times New Roman"/>
                <w:bCs/>
                <w:color w:val="000000"/>
                <w:sz w:val="20"/>
                <w:szCs w:val="20"/>
                <w:shd w:val="clear" w:color="auto" w:fill="FFFFFF"/>
                <w:lang w:val="en-NZ"/>
              </w:rPr>
            </w:pPr>
            <w:r w:rsidRPr="00FF7299">
              <w:rPr>
                <w:rFonts w:asciiTheme="majorHAnsi" w:eastAsia="Times New Roman" w:hAnsiTheme="majorHAnsi" w:cs="Times New Roman"/>
                <w:bCs/>
                <w:color w:val="000000"/>
                <w:sz w:val="20"/>
                <w:szCs w:val="20"/>
                <w:shd w:val="clear" w:color="auto" w:fill="FFFFFF"/>
                <w:lang w:val="en-NZ"/>
              </w:rPr>
              <w:t>Create a Y diagram on next A3</w:t>
            </w:r>
          </w:p>
          <w:p w:rsidR="00B81F25" w:rsidRPr="00FF7299" w:rsidRDefault="00B81F25" w:rsidP="00B81F25">
            <w:pPr>
              <w:rPr>
                <w:rFonts w:asciiTheme="majorHAnsi" w:eastAsia="Times New Roman" w:hAnsiTheme="majorHAnsi" w:cs="Times New Roman"/>
                <w:bCs/>
                <w:color w:val="000000"/>
                <w:sz w:val="20"/>
                <w:szCs w:val="20"/>
                <w:shd w:val="clear" w:color="auto" w:fill="FFFFFF"/>
                <w:lang w:val="en-NZ"/>
              </w:rPr>
            </w:pPr>
          </w:p>
          <w:p w:rsidR="00B81F25" w:rsidRPr="00FF7299" w:rsidRDefault="00B81F25" w:rsidP="00B81F25">
            <w:pPr>
              <w:rPr>
                <w:rFonts w:asciiTheme="majorHAnsi" w:eastAsia="Times New Roman" w:hAnsiTheme="majorHAnsi" w:cs="Times New Roman"/>
                <w:sz w:val="20"/>
                <w:szCs w:val="20"/>
                <w:lang w:val="en-NZ"/>
              </w:rPr>
            </w:pPr>
          </w:p>
          <w:p w:rsidR="00B81F25" w:rsidRPr="00FF7299" w:rsidRDefault="00B81F25" w:rsidP="004B31AA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B81F25" w:rsidRPr="00FF7299" w:rsidTr="00B81F25">
        <w:tc>
          <w:tcPr>
            <w:tcW w:w="4870" w:type="dxa"/>
          </w:tcPr>
          <w:p w:rsidR="00B81F25" w:rsidRDefault="00B81F25" w:rsidP="00B81F25">
            <w:pPr>
              <w:rPr>
                <w:rFonts w:asciiTheme="majorHAnsi" w:hAnsiTheme="majorHAnsi"/>
                <w:sz w:val="20"/>
                <w:szCs w:val="20"/>
              </w:rPr>
            </w:pPr>
            <w:r w:rsidRPr="00FF7299">
              <w:rPr>
                <w:rFonts w:asciiTheme="majorHAnsi" w:hAnsiTheme="majorHAnsi"/>
                <w:sz w:val="20"/>
                <w:szCs w:val="20"/>
              </w:rPr>
              <w:t>Moving into a circle class.</w:t>
            </w:r>
          </w:p>
          <w:p w:rsidR="006F3A65" w:rsidRPr="00FF7299" w:rsidRDefault="006F3A65" w:rsidP="00B81F25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Always begin a lesson with </w:t>
            </w:r>
          </w:p>
          <w:p w:rsidR="00B81F25" w:rsidRDefault="00B81F25" w:rsidP="00B81F25">
            <w:pPr>
              <w:rPr>
                <w:rFonts w:asciiTheme="majorHAnsi" w:hAnsiTheme="majorHAnsi"/>
                <w:sz w:val="20"/>
                <w:szCs w:val="20"/>
              </w:rPr>
            </w:pPr>
            <w:r w:rsidRPr="00FF7299">
              <w:rPr>
                <w:rFonts w:asciiTheme="majorHAnsi" w:hAnsiTheme="majorHAnsi"/>
                <w:sz w:val="20"/>
                <w:szCs w:val="20"/>
              </w:rPr>
              <w:t>What’s on top?</w:t>
            </w:r>
          </w:p>
          <w:p w:rsidR="006F3A65" w:rsidRPr="00FF7299" w:rsidRDefault="006F3A65" w:rsidP="00B81F25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This transition allows s</w:t>
            </w:r>
            <w:r w:rsidR="000D42C6">
              <w:rPr>
                <w:rFonts w:asciiTheme="majorHAnsi" w:hAnsiTheme="majorHAnsi"/>
                <w:sz w:val="20"/>
                <w:szCs w:val="20"/>
              </w:rPr>
              <w:t>tudents to move into a circle more effectively.</w:t>
            </w:r>
          </w:p>
        </w:tc>
        <w:tc>
          <w:tcPr>
            <w:tcW w:w="5588" w:type="dxa"/>
          </w:tcPr>
          <w:p w:rsidR="00B81F25" w:rsidRPr="00FF7299" w:rsidRDefault="00B81F25" w:rsidP="00B81F25">
            <w:pPr>
              <w:rPr>
                <w:rFonts w:asciiTheme="majorHAnsi" w:hAnsiTheme="majorHAnsi"/>
                <w:sz w:val="20"/>
                <w:szCs w:val="20"/>
              </w:rPr>
            </w:pPr>
            <w:r w:rsidRPr="00FF7299">
              <w:rPr>
                <w:rFonts w:asciiTheme="majorHAnsi" w:hAnsiTheme="majorHAnsi"/>
                <w:sz w:val="20"/>
                <w:szCs w:val="20"/>
              </w:rPr>
              <w:t>Complete round with group</w:t>
            </w:r>
          </w:p>
        </w:tc>
      </w:tr>
      <w:tr w:rsidR="00B81F25" w:rsidRPr="00FF7299" w:rsidTr="00B81F25">
        <w:tc>
          <w:tcPr>
            <w:tcW w:w="4870" w:type="dxa"/>
          </w:tcPr>
          <w:p w:rsidR="00B81F25" w:rsidRDefault="00B81F25" w:rsidP="00B81F25">
            <w:pPr>
              <w:rPr>
                <w:rFonts w:asciiTheme="majorHAnsi" w:hAnsiTheme="majorHAnsi"/>
                <w:sz w:val="20"/>
                <w:szCs w:val="20"/>
              </w:rPr>
            </w:pPr>
            <w:r w:rsidRPr="00FF7299">
              <w:rPr>
                <w:rFonts w:asciiTheme="majorHAnsi" w:hAnsiTheme="majorHAnsi"/>
                <w:sz w:val="20"/>
                <w:szCs w:val="20"/>
              </w:rPr>
              <w:t>Values.</w:t>
            </w:r>
          </w:p>
          <w:p w:rsidR="00B370B9" w:rsidRPr="00FF7299" w:rsidRDefault="00B370B9" w:rsidP="00B81F25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Circles work best when the group have a set of shared values that they recognise and ‘own’. If these are established </w:t>
            </w:r>
            <w:r w:rsidR="006F3A65">
              <w:rPr>
                <w:rFonts w:asciiTheme="majorHAnsi" w:hAnsiTheme="majorHAnsi"/>
                <w:sz w:val="20"/>
                <w:szCs w:val="20"/>
              </w:rPr>
              <w:t>well, the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group develop a culture and reminders of the values keep all focussed on learning and ensure safety.</w:t>
            </w:r>
          </w:p>
          <w:p w:rsidR="00B81F25" w:rsidRPr="00FF7299" w:rsidRDefault="00B81F25" w:rsidP="00B81F25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588" w:type="dxa"/>
          </w:tcPr>
          <w:p w:rsidR="00B81F25" w:rsidRPr="00FF7299" w:rsidRDefault="00B81F25" w:rsidP="00B81F25">
            <w:pPr>
              <w:rPr>
                <w:rFonts w:asciiTheme="majorHAnsi" w:hAnsiTheme="majorHAnsi"/>
                <w:sz w:val="20"/>
                <w:szCs w:val="20"/>
              </w:rPr>
            </w:pPr>
            <w:r w:rsidRPr="00FF7299">
              <w:rPr>
                <w:rFonts w:asciiTheme="majorHAnsi" w:hAnsiTheme="majorHAnsi"/>
                <w:sz w:val="20"/>
                <w:szCs w:val="20"/>
              </w:rPr>
              <w:t>Create values bookmarks.</w:t>
            </w:r>
          </w:p>
          <w:p w:rsidR="00B81F25" w:rsidRPr="00FF7299" w:rsidRDefault="00B81F25" w:rsidP="00B81F25">
            <w:pPr>
              <w:rPr>
                <w:rFonts w:asciiTheme="majorHAnsi" w:hAnsiTheme="majorHAnsi"/>
                <w:sz w:val="20"/>
                <w:szCs w:val="20"/>
              </w:rPr>
            </w:pPr>
            <w:r w:rsidRPr="00FF7299">
              <w:rPr>
                <w:rFonts w:asciiTheme="majorHAnsi" w:hAnsiTheme="majorHAnsi"/>
                <w:sz w:val="20"/>
                <w:szCs w:val="20"/>
              </w:rPr>
              <w:t>On A3 write all values of each school. Negotiate which are the most important.</w:t>
            </w:r>
          </w:p>
          <w:p w:rsidR="00B81F25" w:rsidRPr="00FF7299" w:rsidRDefault="00B81F25" w:rsidP="00B81F25">
            <w:pPr>
              <w:rPr>
                <w:rFonts w:asciiTheme="majorHAnsi" w:hAnsiTheme="majorHAnsi"/>
                <w:sz w:val="20"/>
                <w:szCs w:val="20"/>
              </w:rPr>
            </w:pPr>
            <w:r w:rsidRPr="00FF7299">
              <w:rPr>
                <w:rFonts w:asciiTheme="majorHAnsi" w:hAnsiTheme="majorHAnsi"/>
                <w:sz w:val="20"/>
                <w:szCs w:val="20"/>
              </w:rPr>
              <w:t>What would they look like in the classroom?</w:t>
            </w:r>
          </w:p>
          <w:p w:rsidR="00B81F25" w:rsidRPr="00FF7299" w:rsidRDefault="00B81F25" w:rsidP="00B81F25">
            <w:pPr>
              <w:rPr>
                <w:rFonts w:asciiTheme="majorHAnsi" w:hAnsiTheme="majorHAnsi"/>
                <w:sz w:val="20"/>
                <w:szCs w:val="20"/>
              </w:rPr>
            </w:pPr>
            <w:r w:rsidRPr="00FF7299">
              <w:rPr>
                <w:rFonts w:asciiTheme="majorHAnsi" w:hAnsiTheme="majorHAnsi"/>
                <w:sz w:val="20"/>
                <w:szCs w:val="20"/>
              </w:rPr>
              <w:t>Establish and share with circle</w:t>
            </w:r>
          </w:p>
          <w:p w:rsidR="00B81F25" w:rsidRPr="00FF7299" w:rsidRDefault="00B81F25" w:rsidP="00B81F25">
            <w:pPr>
              <w:rPr>
                <w:rFonts w:asciiTheme="majorHAnsi" w:hAnsiTheme="majorHAnsi"/>
                <w:sz w:val="20"/>
                <w:szCs w:val="20"/>
              </w:rPr>
            </w:pPr>
            <w:r w:rsidRPr="00FF7299">
              <w:rPr>
                <w:rFonts w:asciiTheme="majorHAnsi" w:hAnsiTheme="majorHAnsi"/>
                <w:sz w:val="20"/>
                <w:szCs w:val="20"/>
              </w:rPr>
              <w:t xml:space="preserve">What would they look like in a circle? </w:t>
            </w:r>
          </w:p>
        </w:tc>
      </w:tr>
      <w:tr w:rsidR="00B81F25" w:rsidRPr="00FF7299" w:rsidTr="00B370B9">
        <w:trPr>
          <w:trHeight w:val="764"/>
        </w:trPr>
        <w:tc>
          <w:tcPr>
            <w:tcW w:w="4870" w:type="dxa"/>
          </w:tcPr>
          <w:p w:rsidR="00B370B9" w:rsidRPr="00B370B9" w:rsidRDefault="00B370B9" w:rsidP="00B81F25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B370B9">
              <w:rPr>
                <w:rFonts w:asciiTheme="majorHAnsi" w:hAnsiTheme="majorHAnsi"/>
                <w:b/>
                <w:sz w:val="20"/>
                <w:szCs w:val="20"/>
              </w:rPr>
              <w:t>Quotes that support circle pedagogy</w:t>
            </w:r>
          </w:p>
          <w:p w:rsidR="00B81F25" w:rsidRPr="00FF7299" w:rsidRDefault="00B370B9" w:rsidP="00B370B9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Academic research supports dialogic pedagogy and circle education. </w:t>
            </w:r>
          </w:p>
        </w:tc>
        <w:tc>
          <w:tcPr>
            <w:tcW w:w="5588" w:type="dxa"/>
          </w:tcPr>
          <w:p w:rsidR="00B81F25" w:rsidRPr="00FF7299" w:rsidRDefault="00B81F25" w:rsidP="00B81F25">
            <w:pPr>
              <w:rPr>
                <w:rFonts w:asciiTheme="majorHAnsi" w:hAnsiTheme="majorHAnsi"/>
                <w:sz w:val="20"/>
                <w:szCs w:val="20"/>
              </w:rPr>
            </w:pPr>
            <w:r w:rsidRPr="00FF7299">
              <w:rPr>
                <w:rFonts w:asciiTheme="majorHAnsi" w:hAnsiTheme="majorHAnsi"/>
                <w:sz w:val="20"/>
                <w:szCs w:val="20"/>
              </w:rPr>
              <w:t>Quote cards as stimulus material.</w:t>
            </w:r>
            <w:r w:rsidR="00B370B9">
              <w:rPr>
                <w:rFonts w:asciiTheme="majorHAnsi" w:hAnsiTheme="majorHAnsi"/>
                <w:sz w:val="20"/>
                <w:szCs w:val="20"/>
              </w:rPr>
              <w:t xml:space="preserve"> The attached quotes can be used </w:t>
            </w:r>
            <w:r w:rsidR="006F3A65">
              <w:rPr>
                <w:rFonts w:asciiTheme="majorHAnsi" w:hAnsiTheme="majorHAnsi"/>
                <w:sz w:val="20"/>
                <w:szCs w:val="20"/>
              </w:rPr>
              <w:t>to encourage</w:t>
            </w:r>
            <w:r w:rsidR="00B370B9">
              <w:rPr>
                <w:rFonts w:asciiTheme="majorHAnsi" w:hAnsiTheme="majorHAnsi"/>
                <w:sz w:val="20"/>
                <w:szCs w:val="20"/>
              </w:rPr>
              <w:t xml:space="preserve"> teachers / students to see the purpose of changing practice.</w:t>
            </w:r>
          </w:p>
        </w:tc>
      </w:tr>
      <w:tr w:rsidR="00B81F25" w:rsidRPr="00FF7299" w:rsidTr="00B81F25">
        <w:trPr>
          <w:trHeight w:val="746"/>
        </w:trPr>
        <w:tc>
          <w:tcPr>
            <w:tcW w:w="4870" w:type="dxa"/>
          </w:tcPr>
          <w:p w:rsidR="00B81F25" w:rsidRDefault="00B370B9" w:rsidP="00B81F25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6F3A65">
              <w:rPr>
                <w:rFonts w:asciiTheme="majorHAnsi" w:hAnsiTheme="majorHAnsi"/>
                <w:b/>
                <w:sz w:val="20"/>
                <w:szCs w:val="20"/>
              </w:rPr>
              <w:lastRenderedPageBreak/>
              <w:t>Barriers to implementing.</w:t>
            </w:r>
          </w:p>
          <w:p w:rsidR="006F3A65" w:rsidRPr="006F3A65" w:rsidRDefault="006F3A65" w:rsidP="00B81F25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Common</w:t>
            </w:r>
            <w:r w:rsidR="000D42C6">
              <w:rPr>
                <w:rFonts w:asciiTheme="majorHAnsi" w:hAnsiTheme="majorHAnsi"/>
                <w:b/>
                <w:sz w:val="20"/>
                <w:szCs w:val="20"/>
              </w:rPr>
              <w:t>ly used reasons given for reluctance to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 w:rsidR="000D42C6">
              <w:rPr>
                <w:rFonts w:asciiTheme="majorHAnsi" w:hAnsiTheme="majorHAnsi"/>
                <w:b/>
                <w:sz w:val="20"/>
                <w:szCs w:val="20"/>
              </w:rPr>
              <w:t>exploring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 circle pedagogy.</w:t>
            </w:r>
          </w:p>
          <w:p w:rsidR="00B370B9" w:rsidRDefault="00B370B9" w:rsidP="00B81F25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Not having desks to write on.</w:t>
            </w:r>
          </w:p>
          <w:p w:rsidR="000D42C6" w:rsidRDefault="000D42C6" w:rsidP="00B81F25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6F3A65" w:rsidRDefault="006F3A65" w:rsidP="00B81F25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B370B9" w:rsidRDefault="000D42C6" w:rsidP="00B81F25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Take</w:t>
            </w:r>
            <w:r w:rsidR="006F3A65">
              <w:rPr>
                <w:rFonts w:asciiTheme="majorHAnsi" w:hAnsiTheme="majorHAnsi"/>
                <w:sz w:val="20"/>
                <w:szCs w:val="20"/>
              </w:rPr>
              <w:t>s</w:t>
            </w:r>
            <w:r w:rsidR="00B370B9">
              <w:rPr>
                <w:rFonts w:asciiTheme="majorHAnsi" w:hAnsiTheme="majorHAnsi"/>
                <w:sz w:val="20"/>
                <w:szCs w:val="20"/>
              </w:rPr>
              <w:t xml:space="preserve"> too long</w:t>
            </w:r>
            <w:r w:rsidR="006F3A65">
              <w:rPr>
                <w:rFonts w:asciiTheme="majorHAnsi" w:hAnsiTheme="majorHAnsi"/>
                <w:sz w:val="20"/>
                <w:szCs w:val="20"/>
              </w:rPr>
              <w:t>.</w:t>
            </w:r>
          </w:p>
          <w:p w:rsidR="006F3A65" w:rsidRDefault="006F3A65" w:rsidP="00B81F25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6F3A65" w:rsidRDefault="006F3A65" w:rsidP="00B81F25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0D42C6" w:rsidRDefault="000D42C6" w:rsidP="00B81F25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0D42C6" w:rsidRDefault="000D42C6" w:rsidP="00B81F25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6F3A65" w:rsidRDefault="006F3A65" w:rsidP="00B81F25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0D42C6" w:rsidRDefault="000D42C6" w:rsidP="00B81F25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0D42C6" w:rsidRDefault="000D42C6" w:rsidP="00B81F25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6F3A65" w:rsidRDefault="006F3A65" w:rsidP="00B81F25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Talk deteriorates into idle chatter.</w:t>
            </w:r>
          </w:p>
          <w:p w:rsidR="006F3A65" w:rsidRDefault="006F3A65" w:rsidP="00B81F25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6F3A65" w:rsidRDefault="006F3A65" w:rsidP="00B81F25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6F3A65" w:rsidRDefault="006F3A65" w:rsidP="00B81F25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6F3A65" w:rsidRDefault="006F3A65" w:rsidP="00B81F25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6F3A65" w:rsidRDefault="006F3A65" w:rsidP="00B81F25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Students won’t talk.</w:t>
            </w:r>
          </w:p>
          <w:p w:rsidR="006F3A65" w:rsidRDefault="006F3A65" w:rsidP="00B81F25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6F3A65" w:rsidRDefault="006F3A65" w:rsidP="00B81F25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6F3A65" w:rsidRDefault="006F3A65" w:rsidP="00B81F25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0D42C6" w:rsidRDefault="000D42C6" w:rsidP="00B81F25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6F3A65" w:rsidRDefault="006F3A65" w:rsidP="00B81F25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Some will control the conversation</w:t>
            </w:r>
          </w:p>
          <w:p w:rsidR="000D42C6" w:rsidRDefault="000D42C6" w:rsidP="00B81F25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0D42C6" w:rsidRDefault="000D42C6" w:rsidP="00B81F25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0D42C6" w:rsidRDefault="000D42C6" w:rsidP="00B81F25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0D42C6" w:rsidRDefault="000D42C6" w:rsidP="00B81F25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C26108" w:rsidRDefault="00C26108" w:rsidP="00B81F25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0D42C6" w:rsidRDefault="000D42C6" w:rsidP="00B81F25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0D42C6" w:rsidRPr="00FF7299" w:rsidRDefault="000D42C6" w:rsidP="00B81F25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Can ‘t move desks,</w:t>
            </w:r>
          </w:p>
        </w:tc>
        <w:tc>
          <w:tcPr>
            <w:tcW w:w="5588" w:type="dxa"/>
          </w:tcPr>
          <w:p w:rsidR="00B81F25" w:rsidRDefault="00B370B9" w:rsidP="00B81F25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6F3A65">
              <w:rPr>
                <w:rFonts w:asciiTheme="majorHAnsi" w:hAnsiTheme="majorHAnsi"/>
                <w:b/>
                <w:sz w:val="20"/>
                <w:szCs w:val="20"/>
              </w:rPr>
              <w:t>Enablers</w:t>
            </w:r>
          </w:p>
          <w:p w:rsidR="000D42C6" w:rsidRDefault="000D42C6" w:rsidP="00B81F25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  <w:p w:rsidR="006F3A65" w:rsidRPr="006F3A65" w:rsidRDefault="006F3A65" w:rsidP="00B81F25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Why the</w:t>
            </w:r>
            <w:r w:rsidR="000D42C6">
              <w:rPr>
                <w:rFonts w:asciiTheme="majorHAnsi" w:hAnsiTheme="majorHAnsi"/>
                <w:b/>
                <w:sz w:val="20"/>
                <w:szCs w:val="20"/>
              </w:rPr>
              <w:t xml:space="preserve"> barriers do actually not exist or can be overcome.</w:t>
            </w:r>
          </w:p>
          <w:p w:rsidR="00B370B9" w:rsidRDefault="00B370B9" w:rsidP="00B81F25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Turning to write on desks behind. </w:t>
            </w:r>
            <w:r w:rsidR="00937B2A">
              <w:rPr>
                <w:rFonts w:asciiTheme="majorHAnsi" w:hAnsiTheme="majorHAnsi"/>
                <w:sz w:val="20"/>
                <w:szCs w:val="20"/>
              </w:rPr>
              <w:t>Use of mini white boards for individual /pair or group work.</w:t>
            </w:r>
          </w:p>
          <w:p w:rsidR="006F3A65" w:rsidRDefault="006F3A65" w:rsidP="00B81F25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B370B9" w:rsidRDefault="00B370B9" w:rsidP="00B81F25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When students </w:t>
            </w:r>
            <w:r w:rsidR="000D42C6">
              <w:rPr>
                <w:rFonts w:asciiTheme="majorHAnsi" w:hAnsiTheme="majorHAnsi"/>
                <w:sz w:val="20"/>
                <w:szCs w:val="20"/>
              </w:rPr>
              <w:t xml:space="preserve">develop good listening, thinking and talking 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skills understanding happens earlier. </w:t>
            </w:r>
            <w:r w:rsidR="000D42C6">
              <w:rPr>
                <w:rFonts w:asciiTheme="majorHAnsi" w:hAnsiTheme="majorHAnsi"/>
                <w:sz w:val="20"/>
                <w:szCs w:val="20"/>
              </w:rPr>
              <w:t>When others are talking, students are actively engaged in the lesson as listeners.  They are hearing a range of perspectives so deepening understandings by having their own thinking affirmed and challenged.</w:t>
            </w:r>
          </w:p>
          <w:p w:rsidR="006F3A65" w:rsidRDefault="006F3A65" w:rsidP="00B81F25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The ability to ask clarifying questions increases opportunity for understanding.</w:t>
            </w:r>
          </w:p>
          <w:p w:rsidR="000D42C6" w:rsidRDefault="000D42C6" w:rsidP="00B81F25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6F3A65" w:rsidRDefault="006F3A65" w:rsidP="00B81F25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Good facilitation at establishment phase stops idle chatter and as students learn to focus, listen to others, think and contribute lessons are actually more focussed with self-regulation by students.</w:t>
            </w:r>
          </w:p>
          <w:p w:rsidR="000D42C6" w:rsidRDefault="000D42C6" w:rsidP="00B81F25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6F3A65" w:rsidRDefault="006F3A65" w:rsidP="00B81F25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Through using pass counters (only 1-3 pass counters can be used in a lesson) students learn that they must all talk and the quiet students are required to add their view.</w:t>
            </w:r>
            <w:r w:rsidR="000D42C6">
              <w:rPr>
                <w:rFonts w:asciiTheme="majorHAnsi" w:hAnsiTheme="majorHAnsi"/>
                <w:sz w:val="20"/>
                <w:szCs w:val="20"/>
              </w:rPr>
              <w:t xml:space="preserve"> Over a short time all realise it is their responsibility to add their voice.</w:t>
            </w:r>
          </w:p>
          <w:p w:rsidR="000D42C6" w:rsidRDefault="000D42C6" w:rsidP="00B81F25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6F3A65" w:rsidRDefault="006F3A65" w:rsidP="00B81F25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By using a talking piece the conversation is democratic with all students adding to the discussion. The </w:t>
            </w:r>
            <w:r w:rsidR="000D42C6">
              <w:rPr>
                <w:rFonts w:asciiTheme="majorHAnsi" w:hAnsiTheme="majorHAnsi"/>
                <w:sz w:val="20"/>
                <w:szCs w:val="20"/>
              </w:rPr>
              <w:t>‘</w:t>
            </w:r>
            <w:r>
              <w:rPr>
                <w:rFonts w:asciiTheme="majorHAnsi" w:hAnsiTheme="majorHAnsi"/>
                <w:sz w:val="20"/>
                <w:szCs w:val="20"/>
              </w:rPr>
              <w:t>have to be heard</w:t>
            </w:r>
            <w:r w:rsidR="000D42C6">
              <w:rPr>
                <w:rFonts w:asciiTheme="majorHAnsi" w:hAnsiTheme="majorHAnsi"/>
                <w:sz w:val="20"/>
                <w:szCs w:val="20"/>
              </w:rPr>
              <w:t>’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learn that planning and speaking must be well thought through, as they will not be afforded the floor every time they think of a new </w:t>
            </w:r>
            <w:r w:rsidR="00C26108">
              <w:rPr>
                <w:rFonts w:asciiTheme="majorHAnsi" w:hAnsiTheme="majorHAnsi"/>
                <w:sz w:val="20"/>
                <w:szCs w:val="20"/>
              </w:rPr>
              <w:t>idea. This</w:t>
            </w:r>
            <w:r w:rsidR="000D42C6">
              <w:rPr>
                <w:rFonts w:asciiTheme="majorHAnsi" w:hAnsiTheme="majorHAnsi"/>
                <w:sz w:val="20"/>
                <w:szCs w:val="20"/>
              </w:rPr>
              <w:t xml:space="preserve"> develops clarity in conveying </w:t>
            </w:r>
            <w:r w:rsidR="00C26108">
              <w:rPr>
                <w:rFonts w:asciiTheme="majorHAnsi" w:hAnsiTheme="majorHAnsi"/>
                <w:sz w:val="20"/>
                <w:szCs w:val="20"/>
              </w:rPr>
              <w:t>ideas, which</w:t>
            </w:r>
            <w:r w:rsidR="000D42C6">
              <w:rPr>
                <w:rFonts w:asciiTheme="majorHAnsi" w:hAnsiTheme="majorHAnsi"/>
                <w:sz w:val="20"/>
                <w:szCs w:val="20"/>
              </w:rPr>
              <w:t xml:space="preserve"> supports critical writing as well.</w:t>
            </w:r>
          </w:p>
          <w:p w:rsidR="00C26108" w:rsidRDefault="00C26108" w:rsidP="00B81F25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0D42C6" w:rsidRPr="00FF7299" w:rsidRDefault="00C26108" w:rsidP="00B81F25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20</w:t>
            </w:r>
            <w:r w:rsidR="000D42C6">
              <w:rPr>
                <w:rFonts w:asciiTheme="majorHAnsi" w:hAnsiTheme="majorHAnsi"/>
                <w:sz w:val="20"/>
                <w:szCs w:val="20"/>
              </w:rPr>
              <w:t>-30 students when they use this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pedagogy</w:t>
            </w:r>
            <w:r w:rsidR="000D42C6">
              <w:rPr>
                <w:rFonts w:asciiTheme="majorHAnsi" w:hAnsiTheme="majorHAnsi"/>
                <w:sz w:val="20"/>
                <w:szCs w:val="20"/>
              </w:rPr>
              <w:t xml:space="preserve"> often can move furniture in less than 2 minutes. Again </w:t>
            </w:r>
            <w:r w:rsidR="00937B2A">
              <w:rPr>
                <w:rFonts w:asciiTheme="majorHAnsi" w:hAnsiTheme="majorHAnsi"/>
                <w:sz w:val="20"/>
                <w:szCs w:val="20"/>
              </w:rPr>
              <w:t>establish</w:t>
            </w:r>
            <w:r w:rsidR="000D42C6">
              <w:rPr>
                <w:rFonts w:asciiTheme="majorHAnsi" w:hAnsiTheme="majorHAnsi"/>
                <w:sz w:val="20"/>
                <w:szCs w:val="20"/>
              </w:rPr>
              <w:t xml:space="preserve"> routines and </w:t>
            </w:r>
            <w:r w:rsidR="00937B2A">
              <w:rPr>
                <w:rFonts w:asciiTheme="majorHAnsi" w:hAnsiTheme="majorHAnsi"/>
                <w:sz w:val="20"/>
                <w:szCs w:val="20"/>
              </w:rPr>
              <w:t>responsibilities</w:t>
            </w:r>
            <w:r w:rsidR="000D42C6">
              <w:rPr>
                <w:rFonts w:asciiTheme="majorHAnsi" w:hAnsiTheme="majorHAnsi"/>
                <w:sz w:val="20"/>
                <w:szCs w:val="20"/>
              </w:rPr>
              <w:t xml:space="preserve"> to do these tasks.</w:t>
            </w:r>
          </w:p>
        </w:tc>
      </w:tr>
    </w:tbl>
    <w:p w:rsidR="006F3A65" w:rsidRDefault="006F3A65">
      <w:pPr>
        <w:rPr>
          <w:rFonts w:asciiTheme="majorHAnsi" w:hAnsiTheme="majorHAnsi"/>
          <w:sz w:val="22"/>
          <w:szCs w:val="22"/>
        </w:rPr>
      </w:pPr>
    </w:p>
    <w:p w:rsidR="006F3A65" w:rsidRDefault="00FF7299">
      <w:p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Thank you for attending and hope you give this a try as I have found it is the most effective way of creating a class learning culture to challenge assumptions, include all and embrace </w:t>
      </w:r>
      <w:r w:rsidR="00B370B9">
        <w:rPr>
          <w:rFonts w:asciiTheme="majorHAnsi" w:hAnsiTheme="majorHAnsi"/>
          <w:sz w:val="22"/>
          <w:szCs w:val="22"/>
        </w:rPr>
        <w:t xml:space="preserve">diversity. </w:t>
      </w:r>
      <w:r w:rsidR="00C26108">
        <w:rPr>
          <w:rFonts w:asciiTheme="majorHAnsi" w:hAnsiTheme="majorHAnsi"/>
          <w:sz w:val="22"/>
          <w:szCs w:val="22"/>
        </w:rPr>
        <w:t>Circles done well</w:t>
      </w:r>
      <w:r w:rsidR="00922249">
        <w:rPr>
          <w:rFonts w:asciiTheme="majorHAnsi" w:hAnsiTheme="majorHAnsi"/>
          <w:sz w:val="22"/>
          <w:szCs w:val="22"/>
        </w:rPr>
        <w:t xml:space="preserve"> are very safe places where learning is constructed and not imposed.</w:t>
      </w:r>
      <w:r w:rsidR="00B370B9">
        <w:rPr>
          <w:rFonts w:asciiTheme="majorHAnsi" w:hAnsiTheme="majorHAnsi"/>
          <w:sz w:val="22"/>
          <w:szCs w:val="22"/>
        </w:rPr>
        <w:t xml:space="preserve">    </w:t>
      </w:r>
    </w:p>
    <w:p w:rsidR="006F3A65" w:rsidRDefault="006F3A65">
      <w:pPr>
        <w:rPr>
          <w:rFonts w:asciiTheme="majorHAnsi" w:hAnsiTheme="majorHAnsi"/>
          <w:sz w:val="22"/>
          <w:szCs w:val="22"/>
        </w:rPr>
      </w:pPr>
    </w:p>
    <w:p w:rsidR="00526D7F" w:rsidRDefault="00B370B9">
      <w:p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  S.hunt@auckland.ac.nz</w:t>
      </w:r>
    </w:p>
    <w:p w:rsidR="00B370B9" w:rsidRDefault="00B370B9">
      <w:pPr>
        <w:rPr>
          <w:rFonts w:asciiTheme="majorHAnsi" w:hAnsiTheme="majorHAnsi"/>
          <w:sz w:val="22"/>
          <w:szCs w:val="22"/>
        </w:rPr>
      </w:pPr>
    </w:p>
    <w:p w:rsidR="00922249" w:rsidRDefault="00922249">
      <w:pPr>
        <w:rPr>
          <w:rFonts w:asciiTheme="majorHAnsi" w:hAnsiTheme="majorHAnsi"/>
          <w:sz w:val="22"/>
          <w:szCs w:val="22"/>
        </w:rPr>
      </w:pPr>
    </w:p>
    <w:p w:rsidR="00FF7299" w:rsidRPr="00FF7299" w:rsidRDefault="00FF7299">
      <w:pPr>
        <w:rPr>
          <w:rFonts w:asciiTheme="majorHAnsi" w:hAnsiTheme="majorHAnsi"/>
          <w:sz w:val="22"/>
          <w:szCs w:val="22"/>
        </w:rPr>
      </w:pPr>
    </w:p>
    <w:sectPr w:rsidR="00FF7299" w:rsidRPr="00FF7299" w:rsidSect="00FF7299">
      <w:pgSz w:w="11900" w:h="16820"/>
      <w:pgMar w:top="1440" w:right="74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769B"/>
    <w:rsid w:val="000229E6"/>
    <w:rsid w:val="000D42C6"/>
    <w:rsid w:val="004B31AA"/>
    <w:rsid w:val="00526D7F"/>
    <w:rsid w:val="00614EB3"/>
    <w:rsid w:val="006F3A65"/>
    <w:rsid w:val="0074032A"/>
    <w:rsid w:val="0076769B"/>
    <w:rsid w:val="00913DF3"/>
    <w:rsid w:val="00922249"/>
    <w:rsid w:val="009341C5"/>
    <w:rsid w:val="00937B2A"/>
    <w:rsid w:val="00A04101"/>
    <w:rsid w:val="00B370B9"/>
    <w:rsid w:val="00B81F25"/>
    <w:rsid w:val="00C26108"/>
    <w:rsid w:val="00C373CB"/>
    <w:rsid w:val="00D335A6"/>
    <w:rsid w:val="00DD348D"/>
    <w:rsid w:val="00DE0689"/>
    <w:rsid w:val="00DE456B"/>
    <w:rsid w:val="00F43150"/>
    <w:rsid w:val="00FF7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  <w15:docId w15:val="{36775145-5C2C-40E8-8A71-1D748BBCD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676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0410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4101"/>
    <w:rPr>
      <w:rFonts w:ascii="Lucida Grande" w:hAnsi="Lucida Grande" w:cs="Lucida Grande"/>
      <w:sz w:val="18"/>
      <w:szCs w:val="18"/>
      <w:lang w:val="en-GB"/>
    </w:rPr>
  </w:style>
  <w:style w:type="character" w:styleId="Hyperlink">
    <w:name w:val="Hyperlink"/>
    <w:basedOn w:val="DefaultParagraphFont"/>
    <w:uiPriority w:val="99"/>
    <w:unhideWhenUsed/>
    <w:rsid w:val="00DE0689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B31A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50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0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5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9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inyurl.com/ktz6yf3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schoolcircles.blogspot.co.nz/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4E9E74C-49DE-4A15-90F1-7C96D7B6EC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611</Words>
  <Characters>3488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Auckland</Company>
  <LinksUpToDate>false</LinksUpToDate>
  <CharactersWithSpaces>4091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Shelley Hunt</dc:creator>
  <cp:keywords/>
  <dc:description/>
  <cp:lastModifiedBy>Joanna  Cooney</cp:lastModifiedBy>
  <cp:revision>2</cp:revision>
  <cp:lastPrinted>2016-07-09T06:49:00Z</cp:lastPrinted>
  <dcterms:created xsi:type="dcterms:W3CDTF">2016-09-28T21:54:00Z</dcterms:created>
  <dcterms:modified xsi:type="dcterms:W3CDTF">2016-09-28T21:54:00Z</dcterms:modified>
</cp:coreProperties>
</file>